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91689" w14:textId="77777777" w:rsidR="00F03319" w:rsidRDefault="00F03319" w:rsidP="00F03319"/>
    <w:p w14:paraId="23B254F9" w14:textId="77777777" w:rsidR="00F03319" w:rsidRDefault="00F03319" w:rsidP="00F03319">
      <w:pPr>
        <w:jc w:val="center"/>
      </w:pPr>
    </w:p>
    <w:tbl>
      <w:tblPr>
        <w:tblStyle w:val="TableGrid"/>
        <w:tblW w:w="0" w:type="auto"/>
        <w:tblBorders>
          <w:insideH w:val="none" w:sz="0" w:space="0" w:color="auto"/>
          <w:insideV w:val="none" w:sz="0" w:space="0" w:color="auto"/>
        </w:tblBorders>
        <w:shd w:val="clear" w:color="auto" w:fill="0432FF"/>
        <w:tblLook w:val="04A0" w:firstRow="1" w:lastRow="0" w:firstColumn="1" w:lastColumn="0" w:noHBand="0" w:noVBand="1"/>
      </w:tblPr>
      <w:tblGrid>
        <w:gridCol w:w="10450"/>
      </w:tblGrid>
      <w:tr w:rsidR="00F03319" w14:paraId="072B8831" w14:textId="77777777" w:rsidTr="00E63D47">
        <w:tc>
          <w:tcPr>
            <w:tcW w:w="10450" w:type="dxa"/>
            <w:shd w:val="clear" w:color="auto" w:fill="0432FF"/>
          </w:tcPr>
          <w:p w14:paraId="669E56E7" w14:textId="77777777" w:rsidR="00F03319" w:rsidRPr="003A0BBA" w:rsidRDefault="00F03319" w:rsidP="00F03319">
            <w:pPr>
              <w:jc w:val="center"/>
              <w:rPr>
                <w:rFonts w:ascii="Britannic Bold" w:hAnsi="Britannic Bold"/>
                <w:color w:val="FFC000"/>
                <w:sz w:val="88"/>
                <w:szCs w:val="88"/>
              </w:rPr>
            </w:pPr>
            <w:r w:rsidRPr="003A0BBA">
              <w:rPr>
                <w:rFonts w:ascii="Britannic Bold" w:hAnsi="Britannic Bold"/>
                <w:color w:val="FFC000"/>
                <w:sz w:val="88"/>
                <w:szCs w:val="88"/>
              </w:rPr>
              <w:t>Mayfield East Public School</w:t>
            </w:r>
          </w:p>
          <w:p w14:paraId="6378DB98" w14:textId="77777777" w:rsidR="00F03319" w:rsidRPr="003A0BBA" w:rsidRDefault="00F03319" w:rsidP="00F03319">
            <w:pPr>
              <w:jc w:val="center"/>
              <w:rPr>
                <w:rFonts w:ascii="Britannic Bold" w:hAnsi="Britannic Bold"/>
                <w:color w:val="FFC000"/>
                <w:sz w:val="88"/>
                <w:szCs w:val="88"/>
              </w:rPr>
            </w:pPr>
          </w:p>
          <w:p w14:paraId="2E8D43D7" w14:textId="5529E6BE" w:rsidR="00F03319" w:rsidRDefault="00E63D47" w:rsidP="00F03319">
            <w:pPr>
              <w:jc w:val="center"/>
              <w:rPr>
                <w:rFonts w:ascii="Britannic Bold" w:hAnsi="Britannic Bold"/>
                <w:color w:val="FFC000"/>
                <w:sz w:val="88"/>
                <w:szCs w:val="88"/>
              </w:rPr>
            </w:pPr>
            <w:r>
              <w:rPr>
                <w:rFonts w:ascii="Britannic Bold" w:hAnsi="Britannic Bold"/>
                <w:color w:val="FFC000"/>
                <w:sz w:val="88"/>
                <w:szCs w:val="88"/>
              </w:rPr>
              <w:t>Multi</w:t>
            </w:r>
            <w:r w:rsidR="00F03319">
              <w:rPr>
                <w:rFonts w:ascii="Britannic Bold" w:hAnsi="Britannic Bold"/>
                <w:color w:val="FFC000"/>
                <w:sz w:val="88"/>
                <w:szCs w:val="88"/>
              </w:rPr>
              <w:t xml:space="preserve">cultural </w:t>
            </w:r>
            <w:r w:rsidR="00F03319" w:rsidRPr="003A0BBA">
              <w:rPr>
                <w:rFonts w:ascii="Britannic Bold" w:hAnsi="Britannic Bold"/>
                <w:color w:val="FFC000"/>
                <w:sz w:val="88"/>
                <w:szCs w:val="88"/>
              </w:rPr>
              <w:t>Policy</w:t>
            </w:r>
          </w:p>
          <w:p w14:paraId="7C705EFA" w14:textId="406BB57A" w:rsidR="00F03319" w:rsidRPr="003A0BBA" w:rsidRDefault="00F03319" w:rsidP="00F03319">
            <w:pPr>
              <w:jc w:val="center"/>
              <w:rPr>
                <w:rFonts w:ascii="Britannic Bold" w:hAnsi="Britannic Bold"/>
                <w:color w:val="FFC000"/>
                <w:sz w:val="88"/>
                <w:szCs w:val="88"/>
              </w:rPr>
            </w:pPr>
            <w:r>
              <w:rPr>
                <w:rFonts w:ascii="Britannic Bold" w:hAnsi="Britannic Bold"/>
                <w:color w:val="FFC000"/>
                <w:sz w:val="88"/>
                <w:szCs w:val="88"/>
              </w:rPr>
              <w:t>2016</w:t>
            </w:r>
          </w:p>
          <w:p w14:paraId="7DF88EC8" w14:textId="77777777" w:rsidR="00F03319" w:rsidRPr="003A0BBA" w:rsidRDefault="00F03319" w:rsidP="00F03319">
            <w:pPr>
              <w:jc w:val="center"/>
              <w:rPr>
                <w:rFonts w:ascii="Britannic Bold" w:hAnsi="Britannic Bold"/>
                <w:color w:val="FFC000"/>
                <w:sz w:val="88"/>
                <w:szCs w:val="88"/>
              </w:rPr>
            </w:pPr>
          </w:p>
          <w:p w14:paraId="1C187EA2" w14:textId="72BED54E" w:rsidR="002956EC" w:rsidRPr="002956EC" w:rsidRDefault="00F03319" w:rsidP="002956EC">
            <w:pPr>
              <w:jc w:val="center"/>
              <w:rPr>
                <w:rFonts w:ascii="Britannic Bold" w:hAnsi="Britannic Bold"/>
                <w:color w:val="FFC000"/>
                <w:sz w:val="88"/>
                <w:szCs w:val="88"/>
              </w:rPr>
            </w:pPr>
            <w:r w:rsidRPr="003A0BBA">
              <w:rPr>
                <w:rFonts w:ascii="Britannic Bold" w:hAnsi="Britannic Bold"/>
                <w:color w:val="FFC000"/>
                <w:sz w:val="88"/>
                <w:szCs w:val="88"/>
              </w:rPr>
              <w:t>Connect, Succeed, Thrive</w:t>
            </w:r>
          </w:p>
          <w:p w14:paraId="1DF13AE9" w14:textId="77777777" w:rsidR="00F03319" w:rsidRDefault="00F03319" w:rsidP="00F03319">
            <w:pPr>
              <w:jc w:val="center"/>
              <w:rPr>
                <w:rFonts w:ascii="Britannic Bold" w:hAnsi="Britannic Bold" w:cs="Arial"/>
                <w:color w:val="FFC000"/>
                <w:sz w:val="20"/>
                <w:szCs w:val="20"/>
              </w:rPr>
            </w:pPr>
          </w:p>
          <w:p w14:paraId="4A6DBAC3" w14:textId="13FD1DB8" w:rsidR="00F03319" w:rsidRPr="00D66E55" w:rsidRDefault="006F565B" w:rsidP="00F03319">
            <w:pPr>
              <w:jc w:val="center"/>
              <w:rPr>
                <w:rFonts w:ascii="Britannic Bold" w:hAnsi="Britannic Bold" w:cs="Arial"/>
                <w:color w:val="FFC000"/>
                <w:sz w:val="24"/>
                <w:szCs w:val="24"/>
              </w:rPr>
            </w:pPr>
            <w:r>
              <w:rPr>
                <w:rFonts w:ascii="Helvetica" w:eastAsiaTheme="minorHAnsi" w:hAnsi="Helvetica" w:cs="Helvetica"/>
                <w:noProof/>
              </w:rPr>
              <w:drawing>
                <wp:inline distT="0" distB="0" distL="0" distR="0" wp14:anchorId="342F57A4" wp14:editId="65C0A27F">
                  <wp:extent cx="3966210" cy="264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4119" cy="2656079"/>
                          </a:xfrm>
                          <a:prstGeom prst="rect">
                            <a:avLst/>
                          </a:prstGeom>
                          <a:noFill/>
                          <a:ln>
                            <a:noFill/>
                          </a:ln>
                        </pic:spPr>
                      </pic:pic>
                    </a:graphicData>
                  </a:graphic>
                </wp:inline>
              </w:drawing>
            </w:r>
          </w:p>
          <w:p w14:paraId="02853C77" w14:textId="77777777" w:rsidR="00E63D47" w:rsidRDefault="00E63D47" w:rsidP="00F03319">
            <w:pPr>
              <w:jc w:val="center"/>
              <w:rPr>
                <w:rFonts w:ascii="Britannic Bold" w:hAnsi="Britannic Bold" w:cs="Arial"/>
                <w:color w:val="FFC000"/>
                <w:sz w:val="24"/>
                <w:szCs w:val="24"/>
              </w:rPr>
            </w:pPr>
          </w:p>
          <w:p w14:paraId="4C6D5E99" w14:textId="77777777" w:rsidR="00E63D47" w:rsidRDefault="00E63D47" w:rsidP="00F03319">
            <w:pPr>
              <w:jc w:val="center"/>
              <w:rPr>
                <w:rFonts w:ascii="Britannic Bold" w:hAnsi="Britannic Bold" w:cs="Arial"/>
                <w:color w:val="FFC000"/>
                <w:sz w:val="24"/>
                <w:szCs w:val="24"/>
              </w:rPr>
            </w:pPr>
          </w:p>
          <w:p w14:paraId="2A26C1E6" w14:textId="77777777" w:rsidR="006F565B" w:rsidRDefault="006F565B" w:rsidP="00F03319">
            <w:pPr>
              <w:jc w:val="center"/>
              <w:rPr>
                <w:rFonts w:ascii="Britannic Bold" w:hAnsi="Britannic Bold" w:cs="Arial"/>
                <w:color w:val="FFC000"/>
                <w:sz w:val="24"/>
                <w:szCs w:val="24"/>
              </w:rPr>
            </w:pPr>
          </w:p>
          <w:p w14:paraId="2BE94D47" w14:textId="77777777" w:rsidR="006F565B" w:rsidRDefault="006F565B" w:rsidP="00F03319">
            <w:pPr>
              <w:jc w:val="center"/>
              <w:rPr>
                <w:rFonts w:ascii="Britannic Bold" w:hAnsi="Britannic Bold" w:cs="Arial"/>
                <w:color w:val="FFC000"/>
                <w:sz w:val="24"/>
                <w:szCs w:val="24"/>
              </w:rPr>
            </w:pPr>
          </w:p>
          <w:p w14:paraId="30466387" w14:textId="77777777" w:rsidR="006F565B" w:rsidRDefault="006F565B" w:rsidP="00F03319">
            <w:pPr>
              <w:jc w:val="center"/>
              <w:rPr>
                <w:rFonts w:ascii="Britannic Bold" w:hAnsi="Britannic Bold" w:cs="Arial"/>
                <w:color w:val="FFC000"/>
                <w:sz w:val="24"/>
                <w:szCs w:val="24"/>
              </w:rPr>
            </w:pPr>
          </w:p>
          <w:p w14:paraId="6EA29491" w14:textId="77777777" w:rsidR="00F03319" w:rsidRPr="00D66E55" w:rsidRDefault="00F03319" w:rsidP="00F03319">
            <w:pPr>
              <w:jc w:val="center"/>
              <w:rPr>
                <w:rFonts w:ascii="Britannic Bold" w:hAnsi="Britannic Bold" w:cs="Arial"/>
                <w:color w:val="FFC000"/>
                <w:sz w:val="24"/>
                <w:szCs w:val="24"/>
              </w:rPr>
            </w:pPr>
            <w:r w:rsidRPr="00D66E55">
              <w:rPr>
                <w:rFonts w:ascii="Britannic Bold" w:hAnsi="Britannic Bold" w:cs="Arial"/>
                <w:color w:val="FFC000"/>
                <w:sz w:val="24"/>
                <w:szCs w:val="24"/>
              </w:rPr>
              <w:t>Mayfield East Public School</w:t>
            </w:r>
          </w:p>
          <w:p w14:paraId="6E2A74AF" w14:textId="77777777" w:rsidR="00F03319" w:rsidRPr="00D66E55" w:rsidRDefault="00F03319" w:rsidP="00F03319">
            <w:pPr>
              <w:jc w:val="center"/>
              <w:rPr>
                <w:rFonts w:ascii="Britannic Bold" w:hAnsi="Britannic Bold" w:cs="Arial"/>
                <w:color w:val="FFC000"/>
                <w:sz w:val="24"/>
                <w:szCs w:val="24"/>
              </w:rPr>
            </w:pPr>
            <w:r w:rsidRPr="00D66E55">
              <w:rPr>
                <w:rFonts w:ascii="Britannic Bold" w:hAnsi="Britannic Bold" w:cs="Arial"/>
                <w:color w:val="FFC000"/>
                <w:sz w:val="24"/>
                <w:szCs w:val="24"/>
              </w:rPr>
              <w:t xml:space="preserve">32 </w:t>
            </w:r>
            <w:proofErr w:type="spellStart"/>
            <w:r w:rsidRPr="00D66E55">
              <w:rPr>
                <w:rFonts w:ascii="Britannic Bold" w:hAnsi="Britannic Bold" w:cs="Arial"/>
                <w:color w:val="FFC000"/>
                <w:sz w:val="24"/>
                <w:szCs w:val="24"/>
              </w:rPr>
              <w:t>Crebert</w:t>
            </w:r>
            <w:proofErr w:type="spellEnd"/>
            <w:r w:rsidRPr="00D66E55">
              <w:rPr>
                <w:rFonts w:ascii="Britannic Bold" w:hAnsi="Britannic Bold" w:cs="Arial"/>
                <w:color w:val="FFC000"/>
                <w:sz w:val="24"/>
                <w:szCs w:val="24"/>
              </w:rPr>
              <w:t xml:space="preserve"> St Mayfield 2306</w:t>
            </w:r>
          </w:p>
          <w:p w14:paraId="6DCB6112" w14:textId="77777777" w:rsidR="00F03319" w:rsidRPr="00D66E55" w:rsidRDefault="00F03319" w:rsidP="00F03319">
            <w:pPr>
              <w:jc w:val="center"/>
              <w:rPr>
                <w:rFonts w:ascii="Britannic Bold" w:hAnsi="Britannic Bold" w:cs="Arial"/>
                <w:color w:val="FFC000"/>
                <w:sz w:val="24"/>
                <w:szCs w:val="24"/>
              </w:rPr>
            </w:pPr>
            <w:r w:rsidRPr="00D66E55">
              <w:rPr>
                <w:rFonts w:ascii="Britannic Bold" w:hAnsi="Britannic Bold" w:cs="Arial"/>
                <w:color w:val="FFC000"/>
                <w:sz w:val="24"/>
                <w:szCs w:val="24"/>
              </w:rPr>
              <w:t xml:space="preserve">Phone 49681495 </w:t>
            </w:r>
            <w:r w:rsidRPr="00D66E55">
              <w:rPr>
                <w:rFonts w:ascii="Britannic Bold" w:hAnsi="Britannic Bold" w:cs="Arial"/>
                <w:color w:val="FFC000"/>
                <w:sz w:val="24"/>
                <w:szCs w:val="24"/>
              </w:rPr>
              <w:tab/>
              <w:t>Fax 49683236</w:t>
            </w:r>
          </w:p>
          <w:p w14:paraId="2E57E75A" w14:textId="77777777" w:rsidR="00F03319" w:rsidRPr="00D66E55" w:rsidRDefault="00F03319" w:rsidP="00F03319">
            <w:pPr>
              <w:jc w:val="center"/>
              <w:rPr>
                <w:rFonts w:ascii="Britannic Bold" w:hAnsi="Britannic Bold"/>
                <w:color w:val="FFC000"/>
                <w:sz w:val="24"/>
                <w:szCs w:val="24"/>
              </w:rPr>
            </w:pPr>
            <w:r w:rsidRPr="00D66E55">
              <w:rPr>
                <w:rFonts w:ascii="Britannic Bold" w:hAnsi="Britannic Bold" w:cs="Arial"/>
                <w:color w:val="FFC000"/>
                <w:sz w:val="24"/>
                <w:szCs w:val="24"/>
              </w:rPr>
              <w:t xml:space="preserve">Email </w:t>
            </w:r>
            <w:hyperlink r:id="rId7" w:history="1">
              <w:r w:rsidRPr="00D66E55">
                <w:rPr>
                  <w:rStyle w:val="Hyperlink"/>
                  <w:rFonts w:ascii="Britannic Bold" w:hAnsi="Britannic Bold" w:cs="Arial"/>
                  <w:color w:val="FFC000"/>
                  <w:sz w:val="24"/>
                  <w:szCs w:val="24"/>
                </w:rPr>
                <w:t>mayfielde-p.school@det.nsw.edu.au</w:t>
              </w:r>
            </w:hyperlink>
          </w:p>
          <w:p w14:paraId="55DC801C" w14:textId="77777777" w:rsidR="00F03319" w:rsidRDefault="00F03319" w:rsidP="00780C3C">
            <w:pPr>
              <w:jc w:val="center"/>
              <w:rPr>
                <w:rFonts w:asciiTheme="minorHAnsi" w:hAnsiTheme="minorHAnsi" w:cs="Arial"/>
                <w:b/>
                <w:sz w:val="40"/>
                <w:szCs w:val="40"/>
              </w:rPr>
            </w:pPr>
          </w:p>
        </w:tc>
      </w:tr>
    </w:tbl>
    <w:p w14:paraId="5A62F590" w14:textId="77777777" w:rsidR="00E63D47" w:rsidRDefault="00E63D47" w:rsidP="00E63D47">
      <w:pPr>
        <w:rPr>
          <w:rFonts w:asciiTheme="minorHAnsi" w:hAnsiTheme="minorHAnsi" w:cs="Arial"/>
          <w:b/>
          <w:sz w:val="40"/>
          <w:szCs w:val="40"/>
        </w:rPr>
      </w:pPr>
    </w:p>
    <w:p w14:paraId="36C3983A" w14:textId="77777777" w:rsidR="00780C3C" w:rsidRDefault="00780C3C" w:rsidP="00780C3C">
      <w:pPr>
        <w:jc w:val="center"/>
        <w:rPr>
          <w:rFonts w:asciiTheme="minorHAnsi" w:hAnsiTheme="minorHAnsi" w:cs="Arial"/>
          <w:b/>
          <w:sz w:val="40"/>
          <w:szCs w:val="40"/>
        </w:rPr>
      </w:pPr>
      <w:r>
        <w:rPr>
          <w:rFonts w:asciiTheme="minorHAnsi" w:hAnsiTheme="minorHAnsi" w:cs="Arial"/>
          <w:b/>
          <w:sz w:val="40"/>
          <w:szCs w:val="40"/>
        </w:rPr>
        <w:lastRenderedPageBreak/>
        <w:t>MAYFIELD EAST PUBLIC SCHOOL MULTICULTURAL POLICY</w:t>
      </w:r>
    </w:p>
    <w:p w14:paraId="08B3B3ED" w14:textId="77777777" w:rsidR="00780C3C" w:rsidRPr="00780C3C" w:rsidRDefault="00780C3C" w:rsidP="00780C3C">
      <w:pPr>
        <w:jc w:val="center"/>
        <w:rPr>
          <w:rFonts w:asciiTheme="minorHAnsi" w:hAnsiTheme="minorHAnsi" w:cs="Arial"/>
          <w:b/>
          <w:sz w:val="40"/>
          <w:szCs w:val="40"/>
        </w:rPr>
      </w:pPr>
    </w:p>
    <w:p w14:paraId="1AD2E45C" w14:textId="75774F60" w:rsidR="00E63D47" w:rsidRDefault="00E63D47" w:rsidP="00780C3C">
      <w:pPr>
        <w:rPr>
          <w:rFonts w:asciiTheme="minorHAnsi" w:hAnsiTheme="minorHAnsi" w:cs="Arial"/>
        </w:rPr>
      </w:pPr>
      <w:r>
        <w:rPr>
          <w:rFonts w:asciiTheme="minorHAnsi" w:hAnsiTheme="minorHAnsi" w:cs="Arial"/>
        </w:rPr>
        <w:t>At Mayfield East Public School we ha</w:t>
      </w:r>
      <w:r w:rsidR="002956EC">
        <w:rPr>
          <w:rFonts w:asciiTheme="minorHAnsi" w:hAnsiTheme="minorHAnsi" w:cs="Arial"/>
        </w:rPr>
        <w:t xml:space="preserve">ve students that come from 22 </w:t>
      </w:r>
      <w:r>
        <w:rPr>
          <w:rFonts w:asciiTheme="minorHAnsi" w:hAnsiTheme="minorHAnsi" w:cs="Arial"/>
        </w:rPr>
        <w:t>cultural backgrounds.</w:t>
      </w:r>
    </w:p>
    <w:p w14:paraId="278F608F" w14:textId="77777777" w:rsidR="00E63D47" w:rsidRDefault="00E63D47" w:rsidP="00780C3C">
      <w:pPr>
        <w:rPr>
          <w:rFonts w:asciiTheme="minorHAnsi" w:hAnsiTheme="minorHAnsi" w:cs="Arial"/>
        </w:rPr>
      </w:pPr>
    </w:p>
    <w:p w14:paraId="710A502E" w14:textId="77777777" w:rsidR="00780C3C" w:rsidRDefault="00780C3C" w:rsidP="00780C3C">
      <w:pPr>
        <w:rPr>
          <w:rFonts w:asciiTheme="minorHAnsi" w:hAnsiTheme="minorHAnsi" w:cs="Arial"/>
        </w:rPr>
      </w:pPr>
      <w:r w:rsidRPr="00780C3C">
        <w:rPr>
          <w:rFonts w:asciiTheme="minorHAnsi" w:hAnsiTheme="minorHAnsi" w:cs="Arial"/>
        </w:rPr>
        <w:t>Australia’s diversity encompasses the cultural, religious and linguistic diversity of people who may be Indigenous Australians, overseas-born Australians, refugees or Australians whose ancestors came from many backgrounds and birthplaces.  We acknowledge this by ensuring our school curriculum reflects our cultural diversity.  Having a culturally inclusive curriculum increases students’ understanding of the world and assists them to develop knowledge and skills required for their successful participation in a culturally and linguistically diverse society.</w:t>
      </w:r>
    </w:p>
    <w:p w14:paraId="33B2E0AF" w14:textId="77777777" w:rsidR="00780C3C" w:rsidRDefault="00780C3C" w:rsidP="00780C3C">
      <w:pPr>
        <w:rPr>
          <w:rFonts w:asciiTheme="minorHAnsi" w:hAnsiTheme="minorHAnsi" w:cs="Arial"/>
        </w:rPr>
      </w:pPr>
    </w:p>
    <w:p w14:paraId="67B3EF5B" w14:textId="7CF27296" w:rsidR="00025C95" w:rsidRDefault="00025C95" w:rsidP="00780C3C">
      <w:pPr>
        <w:rPr>
          <w:rFonts w:asciiTheme="minorHAnsi" w:hAnsiTheme="minorHAnsi" w:cs="Arial"/>
        </w:rPr>
      </w:pPr>
      <w:r>
        <w:rPr>
          <w:rFonts w:ascii="DroidSans" w:eastAsiaTheme="minorHAnsi" w:hAnsi="DroidSans" w:cs="DroidSans"/>
          <w:color w:val="262626"/>
          <w:lang w:val="en-US" w:eastAsia="en-US"/>
        </w:rPr>
        <w:t xml:space="preserve">The </w:t>
      </w:r>
      <w:hyperlink r:id="rId8" w:history="1">
        <w:r>
          <w:rPr>
            <w:rFonts w:ascii="DroidSans" w:eastAsiaTheme="minorHAnsi" w:hAnsi="DroidSans" w:cs="DroidSans"/>
            <w:color w:val="155966"/>
            <w:lang w:val="en-US" w:eastAsia="en-US"/>
          </w:rPr>
          <w:t>Multicultural NSW Act (2000)</w:t>
        </w:r>
      </w:hyperlink>
      <w:r>
        <w:rPr>
          <w:rFonts w:ascii="DroidSans" w:eastAsiaTheme="minorHAnsi" w:hAnsi="DroidSans" w:cs="DroidSans"/>
          <w:color w:val="262626"/>
          <w:lang w:val="en-US" w:eastAsia="en-US"/>
        </w:rPr>
        <w:t xml:space="preserve"> </w:t>
      </w:r>
      <w:proofErr w:type="spellStart"/>
      <w:r>
        <w:rPr>
          <w:rFonts w:ascii="DroidSans" w:eastAsiaTheme="minorHAnsi" w:hAnsi="DroidSans" w:cs="DroidSans"/>
          <w:color w:val="262626"/>
          <w:lang w:val="en-US" w:eastAsia="en-US"/>
        </w:rPr>
        <w:t>recognises</w:t>
      </w:r>
      <w:proofErr w:type="spellEnd"/>
      <w:r>
        <w:rPr>
          <w:rFonts w:ascii="DroidSans" w:eastAsiaTheme="minorHAnsi" w:hAnsi="DroidSans" w:cs="DroidSans"/>
          <w:color w:val="262626"/>
          <w:lang w:val="en-US" w:eastAsia="en-US"/>
        </w:rPr>
        <w:t xml:space="preserve"> and values the cultural, linguistic and religious diversity of NSW. Under the Act, Multicultural NSW is legislated to act across government and across the whole community to promote diverse, cohesive and harmonious multicultural society with mutual respect for and understanding of cultural diversity.</w:t>
      </w:r>
    </w:p>
    <w:p w14:paraId="3A436162" w14:textId="77777777" w:rsidR="00E63D47" w:rsidRDefault="00E63D47" w:rsidP="00025C95">
      <w:pPr>
        <w:pStyle w:val="NormalWeb"/>
        <w:rPr>
          <w:rFonts w:asciiTheme="minorHAnsi" w:hAnsiTheme="minorHAnsi" w:cs="Arial"/>
          <w:b/>
          <w:bCs/>
          <w:u w:val="single"/>
        </w:rPr>
      </w:pPr>
    </w:p>
    <w:p w14:paraId="3A5BF905" w14:textId="77777777" w:rsidR="00025C95" w:rsidRPr="00B726A2" w:rsidRDefault="00025C95" w:rsidP="00025C95">
      <w:pPr>
        <w:pStyle w:val="NormalWeb"/>
        <w:rPr>
          <w:rFonts w:asciiTheme="minorHAnsi" w:hAnsiTheme="minorHAnsi"/>
          <w:b/>
          <w:u w:val="single"/>
        </w:rPr>
      </w:pPr>
      <w:r w:rsidRPr="00B726A2">
        <w:rPr>
          <w:rFonts w:asciiTheme="minorHAnsi" w:hAnsiTheme="minorHAnsi" w:cs="Arial"/>
          <w:b/>
          <w:bCs/>
          <w:u w:val="single"/>
        </w:rPr>
        <w:t xml:space="preserve">In order to achieve these outcomes, at MEPS specifically we will: </w:t>
      </w:r>
    </w:p>
    <w:p w14:paraId="38FE0E1D" w14:textId="43049E55" w:rsidR="00025C95" w:rsidRPr="00025C95" w:rsidRDefault="00025C95" w:rsidP="00025C95">
      <w:pPr>
        <w:pStyle w:val="NormalWeb"/>
        <w:numPr>
          <w:ilvl w:val="0"/>
          <w:numId w:val="2"/>
        </w:numPr>
        <w:rPr>
          <w:rFonts w:asciiTheme="minorHAnsi" w:hAnsiTheme="minorHAnsi"/>
        </w:rPr>
      </w:pPr>
      <w:r>
        <w:rPr>
          <w:rFonts w:asciiTheme="minorHAnsi" w:hAnsiTheme="minorHAnsi" w:cs="Arial"/>
        </w:rPr>
        <w:t xml:space="preserve">Implemented a differentiated curriculum that teaches about diversity, acceptance, </w:t>
      </w:r>
      <w:r w:rsidR="00E025F0">
        <w:rPr>
          <w:rFonts w:asciiTheme="minorHAnsi" w:hAnsiTheme="minorHAnsi" w:cs="Arial"/>
        </w:rPr>
        <w:t>and tolerance</w:t>
      </w:r>
      <w:r>
        <w:rPr>
          <w:rFonts w:asciiTheme="minorHAnsi" w:hAnsiTheme="minorHAnsi" w:cs="Arial"/>
        </w:rPr>
        <w:t xml:space="preserve"> of all people.</w:t>
      </w:r>
    </w:p>
    <w:p w14:paraId="1F75962A" w14:textId="60EECE62" w:rsidR="00025C95" w:rsidRPr="00025C95" w:rsidRDefault="00025C95" w:rsidP="00025C95">
      <w:pPr>
        <w:pStyle w:val="NormalWeb"/>
        <w:numPr>
          <w:ilvl w:val="0"/>
          <w:numId w:val="2"/>
        </w:numPr>
        <w:rPr>
          <w:rFonts w:asciiTheme="minorHAnsi" w:hAnsiTheme="minorHAnsi"/>
        </w:rPr>
      </w:pPr>
      <w:r>
        <w:rPr>
          <w:rFonts w:ascii="DroidSans" w:hAnsi="DroidSans" w:cs="DroidSans"/>
          <w:color w:val="262626"/>
        </w:rPr>
        <w:t>Provide teaching and learning programs that develop intercultural understanding, promote positive relationships and enable all students to participate as active Australian and global citizens.</w:t>
      </w:r>
    </w:p>
    <w:p w14:paraId="7714C308" w14:textId="3A0CFA79" w:rsidR="00025C95" w:rsidRDefault="00E63D47" w:rsidP="00025C95">
      <w:pPr>
        <w:pStyle w:val="NormalWeb"/>
        <w:numPr>
          <w:ilvl w:val="0"/>
          <w:numId w:val="2"/>
        </w:numPr>
        <w:rPr>
          <w:rFonts w:asciiTheme="minorHAnsi" w:hAnsiTheme="minorHAnsi"/>
        </w:rPr>
      </w:pPr>
      <w:r>
        <w:rPr>
          <w:rFonts w:ascii="DroidSans" w:hAnsi="DroidSans" w:cs="DroidSans"/>
          <w:color w:val="262626"/>
        </w:rPr>
        <w:t>Pr</w:t>
      </w:r>
      <w:r w:rsidR="00025C95">
        <w:rPr>
          <w:rFonts w:ascii="DroidSans" w:hAnsi="DroidSans" w:cs="DroidSans"/>
          <w:color w:val="262626"/>
        </w:rPr>
        <w:t>ovide programs that enable students learning English as an additional language or dialect (EAL/D) to develop their English language and literacy skills so that they are able to fully participate in schooling and achieve equitable educational outcomes.</w:t>
      </w:r>
      <w:r w:rsidR="00025C95" w:rsidRPr="00B726A2">
        <w:rPr>
          <w:rFonts w:asciiTheme="minorHAnsi" w:hAnsiTheme="minorHAnsi" w:cs="Arial"/>
        </w:rPr>
        <w:t xml:space="preserve"> </w:t>
      </w:r>
    </w:p>
    <w:p w14:paraId="355E04A0" w14:textId="2FB7601E" w:rsidR="00025C95" w:rsidRPr="00025C95" w:rsidRDefault="00025C95" w:rsidP="00025C95">
      <w:pPr>
        <w:pStyle w:val="NormalWeb"/>
        <w:numPr>
          <w:ilvl w:val="0"/>
          <w:numId w:val="2"/>
        </w:numPr>
        <w:rPr>
          <w:rFonts w:asciiTheme="minorHAnsi" w:hAnsiTheme="minorHAnsi"/>
        </w:rPr>
      </w:pPr>
      <w:r>
        <w:rPr>
          <w:rFonts w:ascii="Calibri" w:hAnsi="Calibri"/>
        </w:rPr>
        <w:t>Promote</w:t>
      </w:r>
      <w:r w:rsidRPr="00025C95">
        <w:rPr>
          <w:rFonts w:ascii="Calibri" w:hAnsi="Calibri"/>
        </w:rPr>
        <w:t xml:space="preserve"> diversity as a positive learning experience</w:t>
      </w:r>
      <w:r>
        <w:rPr>
          <w:rFonts w:ascii="Calibri" w:hAnsi="Calibri"/>
        </w:rPr>
        <w:t>.</w:t>
      </w:r>
      <w:r w:rsidRPr="00025C95">
        <w:rPr>
          <w:rFonts w:ascii="Calibri" w:hAnsi="Calibri"/>
        </w:rPr>
        <w:t xml:space="preserve"> </w:t>
      </w:r>
    </w:p>
    <w:p w14:paraId="21C39ADC" w14:textId="6700A98E" w:rsidR="00025C95" w:rsidRPr="00025C95" w:rsidRDefault="00025C95" w:rsidP="00025C95">
      <w:pPr>
        <w:pStyle w:val="NormalWeb"/>
        <w:numPr>
          <w:ilvl w:val="0"/>
          <w:numId w:val="2"/>
        </w:numPr>
      </w:pPr>
      <w:r>
        <w:rPr>
          <w:rFonts w:ascii="Calibri" w:hAnsi="Calibri"/>
        </w:rPr>
        <w:t xml:space="preserve">Incorporate multicultural perspectives across all key learning areas. </w:t>
      </w:r>
      <w:r w:rsidRPr="00025C95">
        <w:rPr>
          <w:rFonts w:ascii="Calibri" w:hAnsi="Calibri"/>
        </w:rPr>
        <w:t xml:space="preserve"> </w:t>
      </w:r>
    </w:p>
    <w:p w14:paraId="71EDFACA" w14:textId="77777777" w:rsidR="00025C95" w:rsidRPr="00B726A2" w:rsidRDefault="00025C95" w:rsidP="00025C95">
      <w:pPr>
        <w:pStyle w:val="NormalWeb"/>
        <w:numPr>
          <w:ilvl w:val="0"/>
          <w:numId w:val="2"/>
        </w:numPr>
        <w:rPr>
          <w:rFonts w:asciiTheme="minorHAnsi" w:hAnsiTheme="minorHAnsi"/>
        </w:rPr>
      </w:pPr>
      <w:r w:rsidRPr="00B726A2">
        <w:rPr>
          <w:rFonts w:asciiTheme="minorHAnsi" w:hAnsiTheme="minorHAnsi" w:cs="Arial"/>
        </w:rPr>
        <w:t xml:space="preserve">Protect the rights of students and staff to achieve their full potential in an environment which encourages the affirmation of their cultural identity. </w:t>
      </w:r>
    </w:p>
    <w:p w14:paraId="0E0F4F13" w14:textId="77777777" w:rsidR="00025C95" w:rsidRPr="00B726A2" w:rsidRDefault="00025C95" w:rsidP="00025C95">
      <w:pPr>
        <w:pStyle w:val="NormalWeb"/>
        <w:numPr>
          <w:ilvl w:val="0"/>
          <w:numId w:val="2"/>
        </w:numPr>
        <w:rPr>
          <w:rFonts w:asciiTheme="minorHAnsi" w:hAnsiTheme="minorHAnsi"/>
        </w:rPr>
      </w:pPr>
      <w:r w:rsidRPr="00B726A2">
        <w:rPr>
          <w:rFonts w:asciiTheme="minorHAnsi" w:hAnsiTheme="minorHAnsi" w:cs="Arial"/>
        </w:rPr>
        <w:t xml:space="preserve">Ensure that everyone in the school understands and </w:t>
      </w:r>
      <w:proofErr w:type="spellStart"/>
      <w:r w:rsidRPr="00B726A2">
        <w:rPr>
          <w:rFonts w:asciiTheme="minorHAnsi" w:hAnsiTheme="minorHAnsi" w:cs="Arial"/>
        </w:rPr>
        <w:t>fulfils</w:t>
      </w:r>
      <w:proofErr w:type="spellEnd"/>
      <w:r w:rsidRPr="00B726A2">
        <w:rPr>
          <w:rFonts w:asciiTheme="minorHAnsi" w:hAnsiTheme="minorHAnsi" w:cs="Arial"/>
        </w:rPr>
        <w:t xml:space="preserve"> their responsibilities in the implementation of this policy. </w:t>
      </w:r>
    </w:p>
    <w:p w14:paraId="1EF1B898" w14:textId="77777777" w:rsidR="00E63D47" w:rsidRDefault="00E63D47" w:rsidP="00025C95">
      <w:pPr>
        <w:pStyle w:val="NormalWeb"/>
        <w:ind w:left="720"/>
        <w:rPr>
          <w:rFonts w:asciiTheme="minorHAnsi" w:hAnsiTheme="minorHAnsi" w:cs="Arial"/>
          <w:b/>
          <w:bCs/>
          <w:u w:val="single"/>
        </w:rPr>
      </w:pPr>
    </w:p>
    <w:p w14:paraId="76722AED" w14:textId="77777777" w:rsidR="00025C95" w:rsidRPr="00B726A2" w:rsidRDefault="00025C95" w:rsidP="00025C95">
      <w:pPr>
        <w:pStyle w:val="NormalWeb"/>
        <w:ind w:left="720"/>
        <w:rPr>
          <w:rFonts w:asciiTheme="minorHAnsi" w:hAnsiTheme="minorHAnsi"/>
          <w:b/>
          <w:u w:val="single"/>
        </w:rPr>
      </w:pPr>
      <w:r w:rsidRPr="00B726A2">
        <w:rPr>
          <w:rFonts w:asciiTheme="minorHAnsi" w:hAnsiTheme="minorHAnsi" w:cs="Arial"/>
          <w:b/>
          <w:bCs/>
          <w:u w:val="single"/>
        </w:rPr>
        <w:t xml:space="preserve">The Principal will: </w:t>
      </w:r>
    </w:p>
    <w:p w14:paraId="14E5B31F" w14:textId="77777777" w:rsidR="00025C95" w:rsidRPr="00B726A2" w:rsidRDefault="00025C95" w:rsidP="00025C95">
      <w:pPr>
        <w:pStyle w:val="NormalWeb"/>
        <w:numPr>
          <w:ilvl w:val="0"/>
          <w:numId w:val="3"/>
        </w:numPr>
        <w:rPr>
          <w:rFonts w:asciiTheme="minorHAnsi" w:hAnsiTheme="minorHAnsi"/>
        </w:rPr>
      </w:pPr>
      <w:r w:rsidRPr="00B726A2">
        <w:rPr>
          <w:rFonts w:asciiTheme="minorHAnsi" w:hAnsiTheme="minorHAnsi" w:cs="Arial"/>
        </w:rPr>
        <w:t xml:space="preserve">Allocate resources and responsibilities for the implementation of the policy. </w:t>
      </w:r>
    </w:p>
    <w:p w14:paraId="4B156AD4" w14:textId="19F3D9E8" w:rsidR="00025C95" w:rsidRPr="00B726A2" w:rsidRDefault="00025C95" w:rsidP="00025C95">
      <w:pPr>
        <w:pStyle w:val="NormalWeb"/>
        <w:numPr>
          <w:ilvl w:val="0"/>
          <w:numId w:val="3"/>
        </w:numPr>
        <w:rPr>
          <w:rFonts w:asciiTheme="minorHAnsi" w:hAnsiTheme="minorHAnsi"/>
        </w:rPr>
      </w:pPr>
      <w:r w:rsidRPr="00B726A2">
        <w:rPr>
          <w:rFonts w:asciiTheme="minorHAnsi" w:hAnsiTheme="minorHAnsi" w:cs="Arial"/>
        </w:rPr>
        <w:t xml:space="preserve">Ensure that the school community is familiar with the </w:t>
      </w:r>
      <w:r w:rsidR="00E63D47">
        <w:rPr>
          <w:rFonts w:asciiTheme="minorHAnsi" w:hAnsiTheme="minorHAnsi" w:cs="Arial"/>
        </w:rPr>
        <w:t>Multi</w:t>
      </w:r>
      <w:r>
        <w:rPr>
          <w:rFonts w:asciiTheme="minorHAnsi" w:hAnsiTheme="minorHAnsi" w:cs="Arial"/>
        </w:rPr>
        <w:t>cultural Policy.</w:t>
      </w:r>
      <w:r w:rsidRPr="00B726A2">
        <w:rPr>
          <w:rFonts w:asciiTheme="minorHAnsi" w:hAnsiTheme="minorHAnsi" w:cs="Arial"/>
        </w:rPr>
        <w:t xml:space="preserve"> </w:t>
      </w:r>
    </w:p>
    <w:p w14:paraId="0FB01432" w14:textId="39F55458" w:rsidR="00025C95" w:rsidRPr="00B726A2" w:rsidRDefault="00025C95" w:rsidP="00025C95">
      <w:pPr>
        <w:pStyle w:val="NormalWeb"/>
        <w:numPr>
          <w:ilvl w:val="0"/>
          <w:numId w:val="3"/>
        </w:numPr>
        <w:rPr>
          <w:rFonts w:asciiTheme="minorHAnsi" w:hAnsiTheme="minorHAnsi"/>
        </w:rPr>
      </w:pPr>
      <w:r w:rsidRPr="00B726A2">
        <w:rPr>
          <w:rFonts w:asciiTheme="minorHAnsi" w:hAnsiTheme="minorHAnsi" w:cs="Arial"/>
        </w:rPr>
        <w:t xml:space="preserve">Develop, implement, review and evaluate </w:t>
      </w:r>
      <w:r w:rsidR="00E63D47">
        <w:rPr>
          <w:rFonts w:asciiTheme="minorHAnsi" w:hAnsiTheme="minorHAnsi" w:cs="Arial"/>
        </w:rPr>
        <w:t>the Multicultural</w:t>
      </w:r>
      <w:r w:rsidRPr="00B726A2">
        <w:rPr>
          <w:rFonts w:asciiTheme="minorHAnsi" w:hAnsiTheme="minorHAnsi" w:cs="Arial"/>
        </w:rPr>
        <w:t xml:space="preserve"> Policy. </w:t>
      </w:r>
    </w:p>
    <w:p w14:paraId="71037915" w14:textId="13E00B6E" w:rsidR="00025C95" w:rsidRPr="00B726A2" w:rsidRDefault="00025C95" w:rsidP="00025C95">
      <w:pPr>
        <w:pStyle w:val="NormalWeb"/>
        <w:numPr>
          <w:ilvl w:val="0"/>
          <w:numId w:val="3"/>
        </w:numPr>
        <w:rPr>
          <w:rFonts w:asciiTheme="minorHAnsi" w:hAnsiTheme="minorHAnsi"/>
        </w:rPr>
      </w:pPr>
      <w:r>
        <w:rPr>
          <w:rFonts w:asciiTheme="minorHAnsi" w:hAnsiTheme="minorHAnsi" w:cs="Arial"/>
        </w:rPr>
        <w:t>Allocate roles to staff members so that multi-cultural education can be delivered effectively to students and across the school community.</w:t>
      </w:r>
      <w:r w:rsidRPr="00B726A2">
        <w:rPr>
          <w:rFonts w:asciiTheme="minorHAnsi" w:hAnsiTheme="minorHAnsi" w:cs="Arial"/>
        </w:rPr>
        <w:t xml:space="preserve"> </w:t>
      </w:r>
    </w:p>
    <w:p w14:paraId="6969059C" w14:textId="77777777" w:rsidR="00025C95" w:rsidRPr="00B726A2" w:rsidRDefault="00025C95" w:rsidP="00025C95">
      <w:pPr>
        <w:pStyle w:val="NormalWeb"/>
        <w:numPr>
          <w:ilvl w:val="0"/>
          <w:numId w:val="3"/>
        </w:numPr>
        <w:rPr>
          <w:rFonts w:asciiTheme="minorHAnsi" w:hAnsiTheme="minorHAnsi"/>
        </w:rPr>
      </w:pPr>
      <w:r w:rsidRPr="00B726A2">
        <w:rPr>
          <w:rFonts w:asciiTheme="minorHAnsi" w:hAnsiTheme="minorHAnsi" w:cs="Arial"/>
        </w:rPr>
        <w:t xml:space="preserve">Monitor implementation of the policy and the working environment in its effects if preventative measures are not possible. </w:t>
      </w:r>
    </w:p>
    <w:p w14:paraId="7D091121" w14:textId="77777777" w:rsidR="00025C95" w:rsidRPr="00B726A2" w:rsidRDefault="00025C95" w:rsidP="00025C95">
      <w:pPr>
        <w:pStyle w:val="NormalWeb"/>
        <w:ind w:left="720"/>
        <w:rPr>
          <w:rFonts w:asciiTheme="minorHAnsi" w:hAnsiTheme="minorHAnsi"/>
        </w:rPr>
      </w:pPr>
      <w:r w:rsidRPr="00B726A2">
        <w:rPr>
          <w:rFonts w:asciiTheme="minorHAnsi" w:hAnsiTheme="minorHAnsi" w:cs="Arial"/>
        </w:rPr>
        <w:t xml:space="preserve">This document is in compliance with the Department of Education and Training ‘Polices and Procedures’ Guidelines </w:t>
      </w:r>
    </w:p>
    <w:p w14:paraId="70B02C3C" w14:textId="77777777" w:rsidR="00025C95" w:rsidRDefault="00025C95" w:rsidP="00025C95">
      <w:pPr>
        <w:pStyle w:val="NormalWeb"/>
        <w:rPr>
          <w:rFonts w:asciiTheme="minorHAnsi" w:hAnsiTheme="minorHAnsi" w:cs="Arial"/>
          <w:b/>
          <w:bCs/>
          <w:u w:val="single"/>
        </w:rPr>
      </w:pPr>
    </w:p>
    <w:p w14:paraId="319DEC37" w14:textId="77777777" w:rsidR="00025C95" w:rsidRPr="00B726A2" w:rsidRDefault="00025C95" w:rsidP="00025C95">
      <w:pPr>
        <w:pStyle w:val="NormalWeb"/>
        <w:rPr>
          <w:rFonts w:asciiTheme="minorHAnsi" w:hAnsiTheme="minorHAnsi"/>
          <w:b/>
          <w:u w:val="single"/>
        </w:rPr>
      </w:pPr>
      <w:r w:rsidRPr="00B726A2">
        <w:rPr>
          <w:rFonts w:asciiTheme="minorHAnsi" w:hAnsiTheme="minorHAnsi" w:cs="Arial"/>
          <w:b/>
          <w:bCs/>
          <w:u w:val="single"/>
        </w:rPr>
        <w:lastRenderedPageBreak/>
        <w:t xml:space="preserve">Executive and Teaching staff will: </w:t>
      </w:r>
    </w:p>
    <w:p w14:paraId="127BBB8C" w14:textId="6300ADD1" w:rsidR="00025C95" w:rsidRPr="00B726A2" w:rsidRDefault="00025C95" w:rsidP="00025C95">
      <w:pPr>
        <w:pStyle w:val="NormalWeb"/>
        <w:numPr>
          <w:ilvl w:val="0"/>
          <w:numId w:val="4"/>
        </w:numPr>
        <w:rPr>
          <w:rFonts w:asciiTheme="minorHAnsi" w:hAnsiTheme="minorHAnsi"/>
        </w:rPr>
      </w:pPr>
      <w:r w:rsidRPr="00B726A2">
        <w:rPr>
          <w:rFonts w:asciiTheme="minorHAnsi" w:hAnsiTheme="minorHAnsi" w:cs="Arial"/>
        </w:rPr>
        <w:t xml:space="preserve">Ensure that </w:t>
      </w:r>
      <w:r w:rsidR="00E870B2">
        <w:rPr>
          <w:rFonts w:asciiTheme="minorHAnsi" w:hAnsiTheme="minorHAnsi" w:cs="Arial"/>
        </w:rPr>
        <w:t xml:space="preserve">a </w:t>
      </w:r>
      <w:r>
        <w:rPr>
          <w:rFonts w:asciiTheme="minorHAnsi" w:hAnsiTheme="minorHAnsi" w:cs="Arial"/>
        </w:rPr>
        <w:t xml:space="preserve">range of cultural perspectives are delivered across </w:t>
      </w:r>
      <w:r w:rsidR="00F03319">
        <w:rPr>
          <w:rFonts w:asciiTheme="minorHAnsi" w:hAnsiTheme="minorHAnsi" w:cs="Arial"/>
        </w:rPr>
        <w:t>teaching units.</w:t>
      </w:r>
      <w:r w:rsidRPr="00B726A2">
        <w:rPr>
          <w:rFonts w:asciiTheme="minorHAnsi" w:hAnsiTheme="minorHAnsi" w:cs="Arial"/>
        </w:rPr>
        <w:t xml:space="preserve"> </w:t>
      </w:r>
    </w:p>
    <w:p w14:paraId="33B61E5D" w14:textId="77777777" w:rsidR="00F03319" w:rsidRPr="00F03319" w:rsidRDefault="00F03319" w:rsidP="00025C95">
      <w:pPr>
        <w:pStyle w:val="NormalWeb"/>
        <w:numPr>
          <w:ilvl w:val="0"/>
          <w:numId w:val="4"/>
        </w:numPr>
        <w:rPr>
          <w:rFonts w:asciiTheme="minorHAnsi" w:hAnsiTheme="minorHAnsi"/>
        </w:rPr>
      </w:pPr>
      <w:r>
        <w:rPr>
          <w:rFonts w:asciiTheme="minorHAnsi" w:hAnsiTheme="minorHAnsi" w:cs="Arial"/>
        </w:rPr>
        <w:t>Promote diversity and acceptance in every day teaching.</w:t>
      </w:r>
    </w:p>
    <w:p w14:paraId="2FD69ADD" w14:textId="2C191254" w:rsidR="00025C95" w:rsidRPr="00B726A2" w:rsidRDefault="00F03319" w:rsidP="00025C95">
      <w:pPr>
        <w:pStyle w:val="NormalWeb"/>
        <w:numPr>
          <w:ilvl w:val="0"/>
          <w:numId w:val="4"/>
        </w:numPr>
        <w:rPr>
          <w:rFonts w:asciiTheme="minorHAnsi" w:hAnsiTheme="minorHAnsi"/>
        </w:rPr>
      </w:pPr>
      <w:r>
        <w:rPr>
          <w:rFonts w:asciiTheme="minorHAnsi" w:hAnsiTheme="minorHAnsi" w:cs="Arial"/>
        </w:rPr>
        <w:t>Effective</w:t>
      </w:r>
      <w:r w:rsidR="00E870B2">
        <w:rPr>
          <w:rFonts w:asciiTheme="minorHAnsi" w:hAnsiTheme="minorHAnsi" w:cs="Arial"/>
        </w:rPr>
        <w:t>ly</w:t>
      </w:r>
      <w:bookmarkStart w:id="0" w:name="_GoBack"/>
      <w:bookmarkEnd w:id="0"/>
      <w:r>
        <w:rPr>
          <w:rFonts w:asciiTheme="minorHAnsi" w:hAnsiTheme="minorHAnsi" w:cs="Arial"/>
        </w:rPr>
        <w:t xml:space="preserve"> plan and deliver whole school multi-cultural events such as Harmony Day.</w:t>
      </w:r>
      <w:r w:rsidR="00025C95" w:rsidRPr="00B726A2">
        <w:rPr>
          <w:rFonts w:asciiTheme="minorHAnsi" w:hAnsiTheme="minorHAnsi" w:cs="Arial"/>
        </w:rPr>
        <w:t xml:space="preserve"> </w:t>
      </w:r>
    </w:p>
    <w:p w14:paraId="56FFE22E" w14:textId="05DD2862" w:rsidR="00025C95" w:rsidRPr="00B726A2" w:rsidRDefault="00F03319" w:rsidP="00025C95">
      <w:pPr>
        <w:pStyle w:val="NormalWeb"/>
        <w:numPr>
          <w:ilvl w:val="0"/>
          <w:numId w:val="4"/>
        </w:numPr>
        <w:rPr>
          <w:rFonts w:asciiTheme="minorHAnsi" w:hAnsiTheme="minorHAnsi"/>
        </w:rPr>
      </w:pPr>
      <w:r>
        <w:rPr>
          <w:rFonts w:asciiTheme="minorHAnsi" w:hAnsiTheme="minorHAnsi" w:cs="Arial"/>
        </w:rPr>
        <w:t>Intervene if intolerant behavior is rep</w:t>
      </w:r>
      <w:r w:rsidR="00E63D47">
        <w:rPr>
          <w:rFonts w:asciiTheme="minorHAnsi" w:hAnsiTheme="minorHAnsi" w:cs="Arial"/>
        </w:rPr>
        <w:t>orted in the classroom and play</w:t>
      </w:r>
      <w:r>
        <w:rPr>
          <w:rFonts w:asciiTheme="minorHAnsi" w:hAnsiTheme="minorHAnsi" w:cs="Arial"/>
        </w:rPr>
        <w:t>ground.</w:t>
      </w:r>
      <w:r w:rsidR="00025C95" w:rsidRPr="00B726A2">
        <w:rPr>
          <w:rFonts w:asciiTheme="minorHAnsi" w:hAnsiTheme="minorHAnsi" w:cs="Arial"/>
        </w:rPr>
        <w:t xml:space="preserve"> </w:t>
      </w:r>
    </w:p>
    <w:p w14:paraId="3194ED02" w14:textId="1A8F332C" w:rsidR="00025C95" w:rsidRDefault="00025C95" w:rsidP="00025C95">
      <w:pPr>
        <w:pStyle w:val="NormalWeb"/>
        <w:ind w:left="720"/>
      </w:pPr>
      <w:r w:rsidRPr="00B726A2">
        <w:rPr>
          <w:rFonts w:asciiTheme="minorHAnsi" w:hAnsiTheme="minorHAnsi" w:cs="Arial"/>
        </w:rPr>
        <w:t xml:space="preserve">For a copy of the Department of Education and Training Anti-Racism Policy </w:t>
      </w:r>
    </w:p>
    <w:p w14:paraId="39F99326" w14:textId="77777777" w:rsidR="00025C95" w:rsidRDefault="00E870B2" w:rsidP="00025C95">
      <w:pPr>
        <w:pStyle w:val="NormalWeb"/>
        <w:rPr>
          <w:rFonts w:asciiTheme="minorHAnsi" w:hAnsiTheme="minorHAnsi" w:cs="Arial"/>
        </w:rPr>
      </w:pPr>
      <w:hyperlink r:id="rId9" w:history="1">
        <w:r w:rsidR="00025C95" w:rsidRPr="00025C95">
          <w:rPr>
            <w:rStyle w:val="Hyperlink"/>
            <w:rFonts w:asciiTheme="minorHAnsi" w:hAnsiTheme="minorHAnsi" w:cs="Arial"/>
          </w:rPr>
          <w:t>https://www.det.nsw.edu.au/policies/student_serv/equity/comm_rela/PD20050234.shtml</w:t>
        </w:r>
      </w:hyperlink>
    </w:p>
    <w:p w14:paraId="39552797" w14:textId="04BF510D" w:rsidR="00025C95" w:rsidRDefault="00025C95" w:rsidP="00025C95">
      <w:pPr>
        <w:pStyle w:val="NormalWeb"/>
        <w:rPr>
          <w:rFonts w:asciiTheme="minorHAnsi" w:hAnsiTheme="minorHAnsi"/>
          <w:b/>
          <w:u w:val="single"/>
        </w:rPr>
      </w:pPr>
      <w:proofErr w:type="gramStart"/>
      <w:r w:rsidRPr="00B726A2">
        <w:rPr>
          <w:rFonts w:asciiTheme="minorHAnsi" w:hAnsiTheme="minorHAnsi"/>
          <w:b/>
          <w:u w:val="single"/>
        </w:rPr>
        <w:t xml:space="preserve">School wide strategies to </w:t>
      </w:r>
      <w:r w:rsidR="00E63D47">
        <w:rPr>
          <w:rFonts w:asciiTheme="minorHAnsi" w:hAnsiTheme="minorHAnsi"/>
          <w:b/>
          <w:u w:val="single"/>
        </w:rPr>
        <w:t>celebrate multi</w:t>
      </w:r>
      <w:r>
        <w:rPr>
          <w:rFonts w:asciiTheme="minorHAnsi" w:hAnsiTheme="minorHAnsi"/>
          <w:b/>
          <w:u w:val="single"/>
        </w:rPr>
        <w:t>culturalism</w:t>
      </w:r>
      <w:r w:rsidRPr="00B726A2">
        <w:rPr>
          <w:rFonts w:asciiTheme="minorHAnsi" w:hAnsiTheme="minorHAnsi"/>
          <w:b/>
          <w:u w:val="single"/>
        </w:rPr>
        <w:t>.</w:t>
      </w:r>
      <w:proofErr w:type="gramEnd"/>
    </w:p>
    <w:p w14:paraId="768F5E13" w14:textId="77777777" w:rsidR="00025C95" w:rsidRDefault="00025C95" w:rsidP="00025C95">
      <w:pPr>
        <w:rPr>
          <w:rFonts w:asciiTheme="minorHAnsi" w:hAnsiTheme="minorHAnsi" w:cs="Arial"/>
        </w:rPr>
      </w:pPr>
    </w:p>
    <w:p w14:paraId="7518E45A" w14:textId="77777777" w:rsidR="00025C95" w:rsidRDefault="00025C95" w:rsidP="00025C95">
      <w:pPr>
        <w:pStyle w:val="ListParagraph"/>
        <w:numPr>
          <w:ilvl w:val="0"/>
          <w:numId w:val="1"/>
        </w:numPr>
        <w:rPr>
          <w:rFonts w:asciiTheme="minorHAnsi" w:hAnsiTheme="minorHAnsi" w:cs="Arial"/>
        </w:rPr>
      </w:pPr>
      <w:r>
        <w:rPr>
          <w:rFonts w:asciiTheme="minorHAnsi" w:hAnsiTheme="minorHAnsi" w:cs="Arial"/>
        </w:rPr>
        <w:t>Harmony Day</w:t>
      </w:r>
    </w:p>
    <w:p w14:paraId="56FD4ECC" w14:textId="77777777" w:rsidR="00025C95" w:rsidRDefault="00025C95" w:rsidP="00025C95">
      <w:pPr>
        <w:pStyle w:val="ListParagraph"/>
        <w:numPr>
          <w:ilvl w:val="0"/>
          <w:numId w:val="1"/>
        </w:numPr>
        <w:rPr>
          <w:rFonts w:asciiTheme="minorHAnsi" w:hAnsiTheme="minorHAnsi" w:cs="Arial"/>
        </w:rPr>
      </w:pPr>
      <w:r>
        <w:rPr>
          <w:rFonts w:asciiTheme="minorHAnsi" w:hAnsiTheme="minorHAnsi" w:cs="Arial"/>
        </w:rPr>
        <w:t>NAIDOC week festivities</w:t>
      </w:r>
    </w:p>
    <w:p w14:paraId="4EC4DCEC" w14:textId="77777777" w:rsidR="00025C95" w:rsidRDefault="00025C95" w:rsidP="00025C95">
      <w:pPr>
        <w:pStyle w:val="ListParagraph"/>
        <w:numPr>
          <w:ilvl w:val="0"/>
          <w:numId w:val="1"/>
        </w:numPr>
        <w:rPr>
          <w:rFonts w:asciiTheme="minorHAnsi" w:hAnsiTheme="minorHAnsi" w:cs="Arial"/>
        </w:rPr>
      </w:pPr>
      <w:r>
        <w:rPr>
          <w:rFonts w:asciiTheme="minorHAnsi" w:hAnsiTheme="minorHAnsi" w:cs="Arial"/>
        </w:rPr>
        <w:t>Community members from different backgrounds cooking food with the students.</w:t>
      </w:r>
    </w:p>
    <w:p w14:paraId="715C2A64" w14:textId="77777777" w:rsidR="00025C95" w:rsidRDefault="00025C95" w:rsidP="00025C95">
      <w:pPr>
        <w:pStyle w:val="ListParagraph"/>
        <w:numPr>
          <w:ilvl w:val="0"/>
          <w:numId w:val="1"/>
        </w:numPr>
        <w:rPr>
          <w:rFonts w:asciiTheme="minorHAnsi" w:hAnsiTheme="minorHAnsi" w:cs="Arial"/>
        </w:rPr>
      </w:pPr>
      <w:r>
        <w:rPr>
          <w:rFonts w:asciiTheme="minorHAnsi" w:hAnsiTheme="minorHAnsi" w:cs="Arial"/>
        </w:rPr>
        <w:t>Community members creating cultural canteen days.</w:t>
      </w:r>
    </w:p>
    <w:p w14:paraId="77D3244D" w14:textId="77777777" w:rsidR="00025C95" w:rsidRDefault="00025C95" w:rsidP="00025C95">
      <w:pPr>
        <w:pStyle w:val="ListParagraph"/>
        <w:numPr>
          <w:ilvl w:val="0"/>
          <w:numId w:val="1"/>
        </w:numPr>
        <w:rPr>
          <w:rFonts w:asciiTheme="minorHAnsi" w:hAnsiTheme="minorHAnsi" w:cs="Arial"/>
        </w:rPr>
      </w:pPr>
      <w:r>
        <w:rPr>
          <w:rFonts w:asciiTheme="minorHAnsi" w:hAnsiTheme="minorHAnsi" w:cs="Arial"/>
        </w:rPr>
        <w:t>Social skill streaming lessons.</w:t>
      </w:r>
    </w:p>
    <w:p w14:paraId="7A24A66A" w14:textId="5925C1D6" w:rsidR="00025C95" w:rsidRDefault="00025C95" w:rsidP="00025C95">
      <w:pPr>
        <w:pStyle w:val="ListParagraph"/>
        <w:numPr>
          <w:ilvl w:val="0"/>
          <w:numId w:val="1"/>
        </w:numPr>
        <w:rPr>
          <w:rFonts w:asciiTheme="minorHAnsi" w:hAnsiTheme="minorHAnsi" w:cs="Arial"/>
        </w:rPr>
      </w:pPr>
      <w:r>
        <w:rPr>
          <w:rFonts w:asciiTheme="minorHAnsi" w:hAnsiTheme="minorHAnsi" w:cs="Arial"/>
        </w:rPr>
        <w:t>EAL/D (English as a second language / dialect) education</w:t>
      </w:r>
    </w:p>
    <w:p w14:paraId="45135500" w14:textId="77777777" w:rsidR="00025C95" w:rsidRPr="00B726A2" w:rsidRDefault="00025C95" w:rsidP="00025C95">
      <w:pPr>
        <w:pStyle w:val="NormalWeb"/>
        <w:ind w:left="720"/>
        <w:rPr>
          <w:rFonts w:asciiTheme="minorHAnsi" w:hAnsiTheme="minorHAnsi"/>
        </w:rPr>
      </w:pPr>
      <w:r w:rsidRPr="00B726A2">
        <w:rPr>
          <w:rFonts w:asciiTheme="minorHAnsi" w:hAnsiTheme="minorHAnsi" w:cs="Arial"/>
        </w:rPr>
        <w:t xml:space="preserve"> </w:t>
      </w:r>
    </w:p>
    <w:p w14:paraId="1E93D750" w14:textId="1463123A" w:rsidR="00025C95" w:rsidRPr="00B726A2" w:rsidRDefault="00025C95" w:rsidP="00025C95">
      <w:pPr>
        <w:pStyle w:val="NormalWeb"/>
        <w:rPr>
          <w:rFonts w:asciiTheme="minorHAnsi" w:hAnsiTheme="minorHAnsi"/>
        </w:rPr>
      </w:pPr>
      <w:r w:rsidRPr="00B726A2">
        <w:rPr>
          <w:rFonts w:asciiTheme="minorHAnsi" w:hAnsiTheme="minorHAnsi"/>
        </w:rPr>
        <w:t xml:space="preserve">The following websites provide useful information in relation to </w:t>
      </w:r>
      <w:r>
        <w:rPr>
          <w:rFonts w:asciiTheme="minorHAnsi" w:hAnsiTheme="minorHAnsi"/>
        </w:rPr>
        <w:t>multi-cultural education</w:t>
      </w:r>
      <w:r w:rsidRPr="00B726A2">
        <w:rPr>
          <w:rFonts w:asciiTheme="minorHAnsi" w:hAnsiTheme="minorHAnsi"/>
        </w:rPr>
        <w:t xml:space="preserve">: </w:t>
      </w:r>
    </w:p>
    <w:p w14:paraId="7019B5E2" w14:textId="2C4FE501" w:rsidR="00025C95" w:rsidRPr="00025C95" w:rsidRDefault="00E870B2" w:rsidP="00025C95">
      <w:pPr>
        <w:pStyle w:val="NormalWeb"/>
        <w:rPr>
          <w:rFonts w:asciiTheme="minorHAnsi" w:hAnsiTheme="minorHAnsi"/>
        </w:rPr>
      </w:pPr>
      <w:hyperlink r:id="rId10" w:history="1">
        <w:r w:rsidR="00025C95" w:rsidRPr="00025C95">
          <w:rPr>
            <w:rStyle w:val="Hyperlink"/>
            <w:rFonts w:asciiTheme="minorHAnsi" w:hAnsiTheme="minorHAnsi"/>
          </w:rPr>
          <w:t>http://www.culturalexchange.nsw.edu.au</w:t>
        </w:r>
      </w:hyperlink>
    </w:p>
    <w:p w14:paraId="13D9DC49" w14:textId="27E490BF" w:rsidR="00F03319" w:rsidRDefault="00E870B2" w:rsidP="00025C95">
      <w:pPr>
        <w:pStyle w:val="NormalWeb"/>
        <w:rPr>
          <w:rFonts w:asciiTheme="minorHAnsi" w:hAnsiTheme="minorHAnsi"/>
          <w:color w:val="0000FF"/>
        </w:rPr>
      </w:pPr>
      <w:hyperlink r:id="rId11" w:history="1">
        <w:r w:rsidR="00025C95" w:rsidRPr="00B726A2">
          <w:rPr>
            <w:rStyle w:val="Hyperlink"/>
            <w:rFonts w:asciiTheme="minorHAnsi" w:hAnsiTheme="minorHAnsi"/>
          </w:rPr>
          <w:t>www.multiculturalaustralia.edu.au</w:t>
        </w:r>
      </w:hyperlink>
      <w:r w:rsidR="00025C95" w:rsidRPr="00B726A2">
        <w:rPr>
          <w:rFonts w:asciiTheme="minorHAnsi" w:hAnsiTheme="minorHAnsi"/>
          <w:color w:val="0000FF"/>
        </w:rPr>
        <w:t xml:space="preserve"> </w:t>
      </w:r>
    </w:p>
    <w:p w14:paraId="773929FA" w14:textId="41504100" w:rsidR="00025C95" w:rsidRPr="00B726A2" w:rsidRDefault="00E870B2" w:rsidP="00F03319">
      <w:pPr>
        <w:pStyle w:val="NormalWeb"/>
        <w:rPr>
          <w:rFonts w:asciiTheme="minorHAnsi" w:hAnsiTheme="minorHAnsi"/>
        </w:rPr>
      </w:pPr>
      <w:hyperlink r:id="rId12" w:history="1">
        <w:r w:rsidR="00F03319" w:rsidRPr="00F03319">
          <w:rPr>
            <w:rStyle w:val="Hyperlink"/>
            <w:rFonts w:asciiTheme="minorHAnsi" w:hAnsiTheme="minorHAnsi"/>
          </w:rPr>
          <w:t>http://www.harmony.gov.au/</w:t>
        </w:r>
      </w:hyperlink>
    </w:p>
    <w:p w14:paraId="670C5547" w14:textId="77777777" w:rsidR="00025C95" w:rsidRDefault="00025C95" w:rsidP="00025C95">
      <w:pPr>
        <w:pStyle w:val="NormalWeb"/>
        <w:rPr>
          <w:rFonts w:asciiTheme="minorHAnsi" w:hAnsiTheme="minorHAnsi"/>
          <w:b/>
          <w:u w:val="single"/>
        </w:rPr>
      </w:pPr>
      <w:r w:rsidRPr="00B726A2">
        <w:rPr>
          <w:rFonts w:asciiTheme="minorHAnsi" w:hAnsiTheme="minorHAnsi"/>
          <w:b/>
        </w:rPr>
        <w:t xml:space="preserve"> </w:t>
      </w:r>
      <w:r w:rsidRPr="00B726A2">
        <w:rPr>
          <w:rFonts w:asciiTheme="minorHAnsi" w:hAnsiTheme="minorHAnsi"/>
          <w:b/>
          <w:u w:val="single"/>
        </w:rPr>
        <w:t>Monitoring, evaluating and reporting the policy</w:t>
      </w:r>
    </w:p>
    <w:p w14:paraId="5F306F90" w14:textId="4D5D2678" w:rsidR="00025C95" w:rsidRPr="00B726A2" w:rsidRDefault="00025C95" w:rsidP="00025C95">
      <w:pPr>
        <w:pStyle w:val="NormalWeb"/>
        <w:rPr>
          <w:rFonts w:asciiTheme="minorHAnsi" w:hAnsiTheme="minorHAnsi"/>
        </w:rPr>
      </w:pPr>
      <w:r>
        <w:rPr>
          <w:rFonts w:asciiTheme="minorHAnsi" w:hAnsiTheme="minorHAnsi"/>
        </w:rPr>
        <w:t>The school, along with the community will monitor and evaluate the effe</w:t>
      </w:r>
      <w:r w:rsidR="00F37E48">
        <w:rPr>
          <w:rFonts w:asciiTheme="minorHAnsi" w:hAnsiTheme="minorHAnsi"/>
        </w:rPr>
        <w:t>ctiveness of the policy every second</w:t>
      </w:r>
      <w:r>
        <w:rPr>
          <w:rFonts w:asciiTheme="minorHAnsi" w:hAnsiTheme="minorHAnsi"/>
        </w:rPr>
        <w:t xml:space="preserve"> year and re-evaluate its effectiveness. This will be reported in the school plan.</w:t>
      </w:r>
    </w:p>
    <w:p w14:paraId="6034E14B" w14:textId="77777777" w:rsidR="00025C95" w:rsidRPr="00B726A2" w:rsidRDefault="00025C95" w:rsidP="00025C95"/>
    <w:p w14:paraId="0DD83452" w14:textId="77777777" w:rsidR="00025C95" w:rsidRDefault="00025C95" w:rsidP="00780C3C">
      <w:pPr>
        <w:rPr>
          <w:rFonts w:asciiTheme="minorHAnsi" w:hAnsiTheme="minorHAnsi" w:cs="Arial"/>
        </w:rPr>
      </w:pPr>
    </w:p>
    <w:p w14:paraId="5145C71C" w14:textId="77777777" w:rsidR="00777C31" w:rsidRPr="00780C3C" w:rsidRDefault="00E870B2">
      <w:pPr>
        <w:rPr>
          <w:rFonts w:asciiTheme="minorHAnsi" w:hAnsiTheme="minorHAnsi"/>
        </w:rPr>
      </w:pPr>
    </w:p>
    <w:sectPr w:rsidR="00777C31" w:rsidRPr="00780C3C" w:rsidSect="00F0331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4036"/>
    <w:multiLevelType w:val="hybridMultilevel"/>
    <w:tmpl w:val="CF743472"/>
    <w:lvl w:ilvl="0" w:tplc="E8B274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A26D7"/>
    <w:multiLevelType w:val="multilevel"/>
    <w:tmpl w:val="83A8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D537FE"/>
    <w:multiLevelType w:val="multilevel"/>
    <w:tmpl w:val="729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D4733"/>
    <w:multiLevelType w:val="multilevel"/>
    <w:tmpl w:val="8192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62CD8"/>
    <w:multiLevelType w:val="multilevel"/>
    <w:tmpl w:val="467A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C3C"/>
    <w:rsid w:val="00025C95"/>
    <w:rsid w:val="002956EC"/>
    <w:rsid w:val="006F565B"/>
    <w:rsid w:val="006F6F5A"/>
    <w:rsid w:val="00780C3C"/>
    <w:rsid w:val="00D51416"/>
    <w:rsid w:val="00E025F0"/>
    <w:rsid w:val="00E63D47"/>
    <w:rsid w:val="00E870B2"/>
    <w:rsid w:val="00F03319"/>
    <w:rsid w:val="00F3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3C"/>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3C"/>
    <w:pPr>
      <w:ind w:left="720"/>
      <w:contextualSpacing/>
    </w:pPr>
  </w:style>
  <w:style w:type="paragraph" w:styleId="NormalWeb">
    <w:name w:val="Normal (Web)"/>
    <w:basedOn w:val="Normal"/>
    <w:uiPriority w:val="99"/>
    <w:unhideWhenUsed/>
    <w:rsid w:val="00025C95"/>
    <w:pPr>
      <w:spacing w:before="100" w:beforeAutospacing="1" w:after="100" w:afterAutospacing="1"/>
    </w:pPr>
    <w:rPr>
      <w:rFonts w:eastAsiaTheme="minorHAnsi"/>
      <w:lang w:val="en-US" w:eastAsia="en-US"/>
    </w:rPr>
  </w:style>
  <w:style w:type="character" w:styleId="Hyperlink">
    <w:name w:val="Hyperlink"/>
    <w:basedOn w:val="DefaultParagraphFont"/>
    <w:uiPriority w:val="99"/>
    <w:unhideWhenUsed/>
    <w:rsid w:val="00025C95"/>
    <w:rPr>
      <w:color w:val="0563C1" w:themeColor="hyperlink"/>
      <w:u w:val="single"/>
    </w:rPr>
  </w:style>
  <w:style w:type="character" w:styleId="FollowedHyperlink">
    <w:name w:val="FollowedHyperlink"/>
    <w:basedOn w:val="DefaultParagraphFont"/>
    <w:uiPriority w:val="99"/>
    <w:semiHidden/>
    <w:unhideWhenUsed/>
    <w:rsid w:val="00025C95"/>
    <w:rPr>
      <w:color w:val="954F72" w:themeColor="followedHyperlink"/>
      <w:u w:val="single"/>
    </w:rPr>
  </w:style>
  <w:style w:type="table" w:styleId="TableGrid">
    <w:name w:val="Table Grid"/>
    <w:basedOn w:val="TableNormal"/>
    <w:uiPriority w:val="59"/>
    <w:rsid w:val="00F0331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6EC"/>
    <w:rPr>
      <w:rFonts w:ascii="Tahoma" w:hAnsi="Tahoma" w:cs="Tahoma"/>
      <w:sz w:val="16"/>
      <w:szCs w:val="16"/>
    </w:rPr>
  </w:style>
  <w:style w:type="character" w:customStyle="1" w:styleId="BalloonTextChar">
    <w:name w:val="Balloon Text Char"/>
    <w:basedOn w:val="DefaultParagraphFont"/>
    <w:link w:val="BalloonText"/>
    <w:uiPriority w:val="99"/>
    <w:semiHidden/>
    <w:rsid w:val="002956EC"/>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3C"/>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C3C"/>
    <w:pPr>
      <w:ind w:left="720"/>
      <w:contextualSpacing/>
    </w:pPr>
  </w:style>
  <w:style w:type="paragraph" w:styleId="NormalWeb">
    <w:name w:val="Normal (Web)"/>
    <w:basedOn w:val="Normal"/>
    <w:uiPriority w:val="99"/>
    <w:unhideWhenUsed/>
    <w:rsid w:val="00025C95"/>
    <w:pPr>
      <w:spacing w:before="100" w:beforeAutospacing="1" w:after="100" w:afterAutospacing="1"/>
    </w:pPr>
    <w:rPr>
      <w:rFonts w:eastAsiaTheme="minorHAnsi"/>
      <w:lang w:val="en-US" w:eastAsia="en-US"/>
    </w:rPr>
  </w:style>
  <w:style w:type="character" w:styleId="Hyperlink">
    <w:name w:val="Hyperlink"/>
    <w:basedOn w:val="DefaultParagraphFont"/>
    <w:uiPriority w:val="99"/>
    <w:unhideWhenUsed/>
    <w:rsid w:val="00025C95"/>
    <w:rPr>
      <w:color w:val="0563C1" w:themeColor="hyperlink"/>
      <w:u w:val="single"/>
    </w:rPr>
  </w:style>
  <w:style w:type="character" w:styleId="FollowedHyperlink">
    <w:name w:val="FollowedHyperlink"/>
    <w:basedOn w:val="DefaultParagraphFont"/>
    <w:uiPriority w:val="99"/>
    <w:semiHidden/>
    <w:unhideWhenUsed/>
    <w:rsid w:val="00025C95"/>
    <w:rPr>
      <w:color w:val="954F72" w:themeColor="followedHyperlink"/>
      <w:u w:val="single"/>
    </w:rPr>
  </w:style>
  <w:style w:type="table" w:styleId="TableGrid">
    <w:name w:val="Table Grid"/>
    <w:basedOn w:val="TableNormal"/>
    <w:uiPriority w:val="59"/>
    <w:rsid w:val="00F0331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6EC"/>
    <w:rPr>
      <w:rFonts w:ascii="Tahoma" w:hAnsi="Tahoma" w:cs="Tahoma"/>
      <w:sz w:val="16"/>
      <w:szCs w:val="16"/>
    </w:rPr>
  </w:style>
  <w:style w:type="character" w:customStyle="1" w:styleId="BalloonTextChar">
    <w:name w:val="Balloon Text Char"/>
    <w:basedOn w:val="DefaultParagraphFont"/>
    <w:link w:val="BalloonText"/>
    <w:uiPriority w:val="99"/>
    <w:semiHidden/>
    <w:rsid w:val="002956EC"/>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802328">
      <w:bodyDiv w:val="1"/>
      <w:marLeft w:val="0"/>
      <w:marRight w:val="0"/>
      <w:marTop w:val="0"/>
      <w:marBottom w:val="0"/>
      <w:divBdr>
        <w:top w:val="none" w:sz="0" w:space="0" w:color="auto"/>
        <w:left w:val="none" w:sz="0" w:space="0" w:color="auto"/>
        <w:bottom w:val="none" w:sz="0" w:space="0" w:color="auto"/>
        <w:right w:val="none" w:sz="0" w:space="0" w:color="auto"/>
      </w:divBdr>
      <w:divsChild>
        <w:div w:id="1606770116">
          <w:marLeft w:val="0"/>
          <w:marRight w:val="0"/>
          <w:marTop w:val="0"/>
          <w:marBottom w:val="0"/>
          <w:divBdr>
            <w:top w:val="none" w:sz="0" w:space="0" w:color="auto"/>
            <w:left w:val="none" w:sz="0" w:space="0" w:color="auto"/>
            <w:bottom w:val="none" w:sz="0" w:space="0" w:color="auto"/>
            <w:right w:val="none" w:sz="0" w:space="0" w:color="auto"/>
          </w:divBdr>
          <w:divsChild>
            <w:div w:id="1489635955">
              <w:marLeft w:val="0"/>
              <w:marRight w:val="0"/>
              <w:marTop w:val="0"/>
              <w:marBottom w:val="0"/>
              <w:divBdr>
                <w:top w:val="none" w:sz="0" w:space="0" w:color="auto"/>
                <w:left w:val="none" w:sz="0" w:space="0" w:color="auto"/>
                <w:bottom w:val="none" w:sz="0" w:space="0" w:color="auto"/>
                <w:right w:val="none" w:sz="0" w:space="0" w:color="auto"/>
              </w:divBdr>
              <w:divsChild>
                <w:div w:id="1216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nsw.gov.au/inforcepdf/2000-77.pdf?id=a6ac573d-70ec-61e7-c63e-9e43748c33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AHARRISON22\Local%20Settings\Temporary%20Internet%20Files\Content.IE5\FDDZQJ3V\mayfielde-p.school@det.nsw.edu.au" TargetMode="External"/><Relationship Id="rId12" Type="http://schemas.openxmlformats.org/officeDocument/2006/relationships/hyperlink" Target="http://www.harmony.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ulticulturalaustralia.edu.au" TargetMode="External"/><Relationship Id="rId5" Type="http://schemas.openxmlformats.org/officeDocument/2006/relationships/webSettings" Target="webSettings.xml"/><Relationship Id="rId10" Type="http://schemas.openxmlformats.org/officeDocument/2006/relationships/hyperlink" Target="http://www.culturalexchange.nsw.edu.au" TargetMode="External"/><Relationship Id="rId4" Type="http://schemas.openxmlformats.org/officeDocument/2006/relationships/settings" Target="settings.xml"/><Relationship Id="rId9" Type="http://schemas.openxmlformats.org/officeDocument/2006/relationships/hyperlink" Target="https://www.det.nsw.edu.au/policies/student_serv/equity/comm_rela/PD20050234.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Thompson, Allison</cp:lastModifiedBy>
  <cp:revision>2</cp:revision>
  <dcterms:created xsi:type="dcterms:W3CDTF">2016-08-04T03:32:00Z</dcterms:created>
  <dcterms:modified xsi:type="dcterms:W3CDTF">2016-08-04T03:32:00Z</dcterms:modified>
</cp:coreProperties>
</file>